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AFF74" w14:textId="77777777" w:rsidR="00A26C1F" w:rsidRPr="00A26C1F" w:rsidRDefault="00A26C1F" w:rsidP="00A26C1F">
      <w:pPr>
        <w:jc w:val="center"/>
        <w:rPr>
          <w:rFonts w:ascii="Arial" w:eastAsia="Times New Roman" w:hAnsi="Arial" w:cs="Arial"/>
          <w:b/>
          <w:sz w:val="24"/>
          <w:szCs w:val="24"/>
          <w:u w:val="single"/>
        </w:rPr>
      </w:pPr>
      <w:bookmarkStart w:id="0" w:name="_gjdgxs" w:colFirst="0" w:colLast="0"/>
      <w:bookmarkEnd w:id="0"/>
      <w:r w:rsidRPr="00A26C1F">
        <w:rPr>
          <w:rFonts w:ascii="Arial" w:eastAsia="Times New Roman" w:hAnsi="Arial" w:cs="Arial"/>
          <w:b/>
          <w:sz w:val="24"/>
          <w:szCs w:val="24"/>
          <w:u w:val="single"/>
          <w:rtl/>
        </w:rPr>
        <w:t>נספח א'</w:t>
      </w:r>
    </w:p>
    <w:p w14:paraId="2206E281" w14:textId="77777777" w:rsidR="00A26C1F" w:rsidRPr="00A26C1F" w:rsidRDefault="00A26C1F" w:rsidP="00A26C1F">
      <w:pPr>
        <w:keepNext/>
        <w:keepLines/>
        <w:widowControl w:val="0"/>
        <w:pBdr>
          <w:top w:val="nil"/>
          <w:left w:val="nil"/>
          <w:bottom w:val="nil"/>
          <w:right w:val="nil"/>
          <w:between w:val="nil"/>
        </w:pBdr>
        <w:spacing w:before="240" w:after="0" w:line="360" w:lineRule="auto"/>
        <w:jc w:val="both"/>
        <w:rPr>
          <w:rFonts w:ascii="Arial" w:eastAsia="Times New Roman" w:hAnsi="Arial" w:cs="Arial"/>
          <w:b/>
          <w:color w:val="000000"/>
          <w:sz w:val="24"/>
          <w:szCs w:val="24"/>
          <w:u w:val="single"/>
        </w:rPr>
      </w:pPr>
      <w:bookmarkStart w:id="1" w:name="30j0zll" w:colFirst="0" w:colLast="0"/>
      <w:bookmarkEnd w:id="1"/>
      <w:r w:rsidRPr="00A26C1F">
        <w:rPr>
          <w:rFonts w:ascii="Arial" w:eastAsia="Times New Roman" w:hAnsi="Arial" w:cs="Arial"/>
          <w:b/>
          <w:color w:val="000000"/>
          <w:sz w:val="24"/>
          <w:szCs w:val="24"/>
          <w:u w:val="single"/>
          <w:rtl/>
        </w:rPr>
        <w:t xml:space="preserve">הצעת חוק העונשין (תיקון – תקיפת עיתונאים), </w:t>
      </w:r>
      <w:proofErr w:type="spellStart"/>
      <w:r w:rsidRPr="00A26C1F">
        <w:rPr>
          <w:rFonts w:ascii="Arial" w:eastAsia="Times New Roman" w:hAnsi="Arial" w:cs="Arial"/>
          <w:b/>
          <w:color w:val="000000"/>
          <w:sz w:val="24"/>
          <w:szCs w:val="24"/>
          <w:u w:val="single"/>
          <w:rtl/>
        </w:rPr>
        <w:t>התש"פ</w:t>
      </w:r>
      <w:proofErr w:type="spellEnd"/>
      <w:r w:rsidRPr="00A26C1F">
        <w:rPr>
          <w:rFonts w:ascii="Arial" w:eastAsia="Times New Roman" w:hAnsi="Arial" w:cs="Arial"/>
          <w:b/>
          <w:color w:val="000000"/>
          <w:sz w:val="24"/>
          <w:szCs w:val="24"/>
          <w:u w:val="single"/>
          <w:rtl/>
        </w:rPr>
        <w:t>–2020</w:t>
      </w:r>
      <w:r w:rsidRPr="00A26C1F">
        <w:rPr>
          <w:rFonts w:ascii="Arial" w:eastAsia="Times New Roman" w:hAnsi="Arial" w:cs="Arial"/>
          <w:b/>
          <w:color w:val="000000"/>
          <w:sz w:val="24"/>
          <w:szCs w:val="24"/>
          <w:u w:val="single"/>
          <w:rtl/>
        </w:rPr>
        <w:br/>
      </w:r>
    </w:p>
    <w:tbl>
      <w:tblPr>
        <w:bidiVisual/>
        <w:tblW w:w="9645" w:type="dxa"/>
        <w:tblLayout w:type="fixed"/>
        <w:tblLook w:val="0000" w:firstRow="0" w:lastRow="0" w:firstColumn="0" w:lastColumn="0" w:noHBand="0" w:noVBand="0"/>
      </w:tblPr>
      <w:tblGrid>
        <w:gridCol w:w="1873"/>
        <w:gridCol w:w="625"/>
        <w:gridCol w:w="625"/>
        <w:gridCol w:w="624"/>
        <w:gridCol w:w="624"/>
        <w:gridCol w:w="624"/>
        <w:gridCol w:w="4650"/>
      </w:tblGrid>
      <w:tr w:rsidR="00A26C1F" w:rsidRPr="00A26C1F" w14:paraId="480EE0F5" w14:textId="77777777" w:rsidTr="00AA6476">
        <w:tc>
          <w:tcPr>
            <w:tcW w:w="1873" w:type="dxa"/>
          </w:tcPr>
          <w:p w14:paraId="7D2C2EC6"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הוספת סימן ג'1</w:t>
            </w:r>
          </w:p>
        </w:tc>
        <w:tc>
          <w:tcPr>
            <w:tcW w:w="625" w:type="dxa"/>
          </w:tcPr>
          <w:p w14:paraId="230B5FD0"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Pr>
              <w:t xml:space="preserve">1. </w:t>
            </w:r>
          </w:p>
        </w:tc>
        <w:tc>
          <w:tcPr>
            <w:tcW w:w="7147" w:type="dxa"/>
            <w:gridSpan w:val="5"/>
          </w:tcPr>
          <w:p w14:paraId="06676809"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בחוק העונשין, </w:t>
            </w:r>
            <w:proofErr w:type="spellStart"/>
            <w:r w:rsidRPr="00A26C1F">
              <w:rPr>
                <w:rFonts w:ascii="Arial" w:eastAsia="Times New Roman" w:hAnsi="Arial" w:cs="Arial"/>
                <w:color w:val="000000"/>
                <w:sz w:val="24"/>
                <w:szCs w:val="24"/>
                <w:rtl/>
              </w:rPr>
              <w:t>התשל"ז</w:t>
            </w:r>
            <w:proofErr w:type="spellEnd"/>
            <w:r w:rsidRPr="00A26C1F">
              <w:rPr>
                <w:rFonts w:ascii="Arial" w:eastAsia="Times New Roman" w:hAnsi="Arial" w:cs="Arial"/>
                <w:color w:val="000000"/>
                <w:sz w:val="24"/>
                <w:szCs w:val="24"/>
                <w:rtl/>
              </w:rPr>
              <w:t>–1977</w:t>
            </w:r>
            <w:r w:rsidRPr="00A26C1F">
              <w:rPr>
                <w:rFonts w:ascii="Arial" w:eastAsia="Times New Roman" w:hAnsi="Arial" w:cs="Arial"/>
                <w:b/>
                <w:color w:val="000000"/>
                <w:sz w:val="24"/>
                <w:szCs w:val="24"/>
              </w:rPr>
              <w:t>,</w:t>
            </w:r>
            <w:r w:rsidRPr="00A26C1F">
              <w:rPr>
                <w:rFonts w:ascii="Arial" w:eastAsia="Times New Roman" w:hAnsi="Arial" w:cs="Arial"/>
                <w:color w:val="000000"/>
                <w:sz w:val="24"/>
                <w:szCs w:val="24"/>
                <w:rtl/>
              </w:rPr>
              <w:t xml:space="preserve"> אחרי סעיף 276 יבוא: </w:t>
            </w:r>
          </w:p>
        </w:tc>
      </w:tr>
      <w:tr w:rsidR="00A26C1F" w:rsidRPr="00A26C1F" w14:paraId="2941C795" w14:textId="77777777" w:rsidTr="00AA6476">
        <w:tc>
          <w:tcPr>
            <w:tcW w:w="1873" w:type="dxa"/>
          </w:tcPr>
          <w:p w14:paraId="7DD8FFFA"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08E10605"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1873" w:type="dxa"/>
            <w:gridSpan w:val="3"/>
          </w:tcPr>
          <w:p w14:paraId="3BB0AC62"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5274" w:type="dxa"/>
            <w:gridSpan w:val="2"/>
          </w:tcPr>
          <w:p w14:paraId="03D1F8C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b/>
                <w:color w:val="000000"/>
                <w:sz w:val="24"/>
                <w:szCs w:val="24"/>
              </w:rPr>
            </w:pPr>
            <w:r w:rsidRPr="00A26C1F">
              <w:rPr>
                <w:rFonts w:ascii="Arial" w:eastAsia="Times New Roman" w:hAnsi="Arial" w:cs="Arial"/>
                <w:b/>
                <w:color w:val="000000"/>
                <w:sz w:val="24"/>
                <w:szCs w:val="24"/>
                <w:rtl/>
              </w:rPr>
              <w:t>"סימן ג'1: תקיפת עיתונאים</w:t>
            </w:r>
          </w:p>
        </w:tc>
      </w:tr>
      <w:tr w:rsidR="00A26C1F" w:rsidRPr="00A26C1F" w14:paraId="3DFF56AC" w14:textId="77777777" w:rsidTr="00AA6476">
        <w:tc>
          <w:tcPr>
            <w:tcW w:w="1873" w:type="dxa"/>
          </w:tcPr>
          <w:p w14:paraId="5B925813"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1849AC8B"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1873" w:type="dxa"/>
            <w:gridSpan w:val="3"/>
          </w:tcPr>
          <w:p w14:paraId="5D6D0997"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הגדרות</w:t>
            </w:r>
          </w:p>
        </w:tc>
        <w:tc>
          <w:tcPr>
            <w:tcW w:w="624" w:type="dxa"/>
          </w:tcPr>
          <w:p w14:paraId="3B15CF6E"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276א.</w:t>
            </w:r>
          </w:p>
        </w:tc>
        <w:tc>
          <w:tcPr>
            <w:tcW w:w="4650" w:type="dxa"/>
          </w:tcPr>
          <w:p w14:paraId="4EC3862D"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בסימן זה –</w:t>
            </w:r>
          </w:p>
        </w:tc>
      </w:tr>
      <w:tr w:rsidR="00A26C1F" w:rsidRPr="00A26C1F" w14:paraId="78C65C6E" w14:textId="77777777" w:rsidTr="00AA6476">
        <w:tc>
          <w:tcPr>
            <w:tcW w:w="1873" w:type="dxa"/>
          </w:tcPr>
          <w:p w14:paraId="07ACD4A9"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0C671883"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6A24072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03330112"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56BCAEDC"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1F8D04EB"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4650" w:type="dxa"/>
          </w:tcPr>
          <w:p w14:paraId="0002716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left="624" w:hanging="624"/>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"עיתונאי" – אדם בעל תעודת עיתונאי בתוקף שהונפקה על ידי לשכת העיתונות הממשלתית ואשר שימש ככתב בפועל בגוף תקשורת או באופן עצמאי;</w:t>
            </w:r>
          </w:p>
        </w:tc>
      </w:tr>
      <w:tr w:rsidR="00A26C1F" w:rsidRPr="00A26C1F" w14:paraId="17B57E3B" w14:textId="77777777" w:rsidTr="00AA6476">
        <w:tc>
          <w:tcPr>
            <w:tcW w:w="1873" w:type="dxa"/>
          </w:tcPr>
          <w:p w14:paraId="6CD4CF23"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3B1B5DFD"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23F1788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01A9565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5862212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479E649B"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4650" w:type="dxa"/>
          </w:tcPr>
          <w:p w14:paraId="22865D49"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left="624" w:hanging="624"/>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"תקיפה" – כמשמעותה בסעיף 378.</w:t>
            </w:r>
          </w:p>
        </w:tc>
      </w:tr>
      <w:tr w:rsidR="00A26C1F" w:rsidRPr="00A26C1F" w14:paraId="4E3980AC" w14:textId="77777777" w:rsidTr="00AA6476">
        <w:tc>
          <w:tcPr>
            <w:tcW w:w="1873" w:type="dxa"/>
          </w:tcPr>
          <w:p w14:paraId="28B86691"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454386F1"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1873" w:type="dxa"/>
            <w:gridSpan w:val="3"/>
          </w:tcPr>
          <w:p w14:paraId="4A9CA337"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תקיפת עיתונאי בשעת מילוי תפקידו</w:t>
            </w:r>
          </w:p>
        </w:tc>
        <w:tc>
          <w:tcPr>
            <w:tcW w:w="624" w:type="dxa"/>
          </w:tcPr>
          <w:p w14:paraId="762E62B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276ב.</w:t>
            </w:r>
          </w:p>
        </w:tc>
        <w:tc>
          <w:tcPr>
            <w:tcW w:w="4650" w:type="dxa"/>
          </w:tcPr>
          <w:p w14:paraId="6C8F3D8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התוקף עיתונאי והתקיפה קשורה למילוי תפקידו, או צוותי עיתונות, דינו – מאסר שלוש שנים.</w:t>
            </w:r>
          </w:p>
        </w:tc>
      </w:tr>
      <w:tr w:rsidR="00A26C1F" w:rsidRPr="00A26C1F" w14:paraId="419A8FA0" w14:textId="77777777" w:rsidTr="00AA6476">
        <w:tc>
          <w:tcPr>
            <w:tcW w:w="1873" w:type="dxa"/>
          </w:tcPr>
          <w:p w14:paraId="0F0A2BB7"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143BCE2B" w14:textId="77777777" w:rsidR="00A26C1F" w:rsidRPr="00A26C1F" w:rsidRDefault="00A26C1F" w:rsidP="00AA6476">
            <w:pPr>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1873" w:type="dxa"/>
            <w:gridSpan w:val="3"/>
          </w:tcPr>
          <w:p w14:paraId="5561146C"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תקיפת עיתונאי בנסיבות מחמירות</w:t>
            </w:r>
          </w:p>
        </w:tc>
        <w:tc>
          <w:tcPr>
            <w:tcW w:w="624" w:type="dxa"/>
          </w:tcPr>
          <w:p w14:paraId="0859540C"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276ג.</w:t>
            </w:r>
          </w:p>
        </w:tc>
        <w:tc>
          <w:tcPr>
            <w:tcW w:w="4650" w:type="dxa"/>
          </w:tcPr>
          <w:p w14:paraId="65F9F78B"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התוקף עיתונאי והתקיפה קשורה למילוי תפקידו ונתקיימה בו אחת מאלה, דינו – מאסר חמש שנים:</w:t>
            </w:r>
          </w:p>
        </w:tc>
      </w:tr>
      <w:tr w:rsidR="00A26C1F" w:rsidRPr="00A26C1F" w14:paraId="11A5900A" w14:textId="77777777" w:rsidTr="00AA6476">
        <w:tc>
          <w:tcPr>
            <w:tcW w:w="1873" w:type="dxa"/>
          </w:tcPr>
          <w:p w14:paraId="6184B7D4"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3B8D1D87"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2FB291E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7093CD77"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713E2EC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7996C0A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4650" w:type="dxa"/>
          </w:tcPr>
          <w:p w14:paraId="2769671D"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(1)</w:t>
            </w:r>
            <w:r w:rsidRPr="00A26C1F">
              <w:rPr>
                <w:rFonts w:ascii="Arial" w:eastAsia="Times New Roman" w:hAnsi="Arial" w:cs="Arial"/>
                <w:color w:val="000000"/>
                <w:sz w:val="24"/>
                <w:szCs w:val="24"/>
                <w:rtl/>
              </w:rPr>
              <w:tab/>
              <w:t>היה מזוין בכלי ירייה, מקל, אבן או כלי אחר;</w:t>
            </w:r>
          </w:p>
        </w:tc>
      </w:tr>
      <w:tr w:rsidR="00A26C1F" w:rsidRPr="00A26C1F" w14:paraId="1B56AFE2" w14:textId="77777777" w:rsidTr="00AA6476">
        <w:tc>
          <w:tcPr>
            <w:tcW w:w="1873" w:type="dxa"/>
          </w:tcPr>
          <w:p w14:paraId="17939492"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13B75CB7"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7C6C8A61"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6B05AA64"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5366A19B"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2352AB13"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4650" w:type="dxa"/>
          </w:tcPr>
          <w:p w14:paraId="3579C3BB"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(2)</w:t>
            </w:r>
            <w:r w:rsidRPr="00A26C1F">
              <w:rPr>
                <w:rFonts w:ascii="Arial" w:eastAsia="Times New Roman" w:hAnsi="Arial" w:cs="Arial"/>
                <w:color w:val="000000"/>
                <w:sz w:val="24"/>
                <w:szCs w:val="24"/>
                <w:rtl/>
              </w:rPr>
              <w:tab/>
              <w:t>שוטר אשר תוקף עיתונאי בעת מילוי תפקידו ולאחר הצגת תעודת עיתונאי;</w:t>
            </w:r>
          </w:p>
        </w:tc>
      </w:tr>
      <w:tr w:rsidR="00A26C1F" w:rsidRPr="00A26C1F" w14:paraId="0D3E318D" w14:textId="77777777" w:rsidTr="00AA6476">
        <w:tc>
          <w:tcPr>
            <w:tcW w:w="1873" w:type="dxa"/>
          </w:tcPr>
          <w:p w14:paraId="67A6277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6C462E64"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5" w:type="dxa"/>
          </w:tcPr>
          <w:p w14:paraId="5B6EAAD0"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3F9BCA66"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56B086EA"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624" w:type="dxa"/>
          </w:tcPr>
          <w:p w14:paraId="4D34B35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jc w:val="both"/>
              <w:rPr>
                <w:rFonts w:ascii="Arial" w:eastAsia="Times New Roman" w:hAnsi="Arial" w:cs="Arial"/>
                <w:color w:val="000000"/>
                <w:sz w:val="24"/>
                <w:szCs w:val="24"/>
              </w:rPr>
            </w:pPr>
          </w:p>
        </w:tc>
        <w:tc>
          <w:tcPr>
            <w:tcW w:w="4650" w:type="dxa"/>
          </w:tcPr>
          <w:p w14:paraId="79D220B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(3)</w:t>
            </w:r>
            <w:r w:rsidRPr="00A26C1F">
              <w:rPr>
                <w:rFonts w:ascii="Arial" w:eastAsia="Times New Roman" w:hAnsi="Arial" w:cs="Arial"/>
                <w:color w:val="000000"/>
                <w:sz w:val="24"/>
                <w:szCs w:val="24"/>
                <w:rtl/>
              </w:rPr>
              <w:tab/>
              <w:t>התקיפה הייתה על רקע לאומני, מגדרי או פוליטי."</w:t>
            </w:r>
          </w:p>
        </w:tc>
      </w:tr>
    </w:tbl>
    <w:p w14:paraId="25FFA7B2" w14:textId="77777777" w:rsidR="00A26C1F" w:rsidRPr="00A26C1F" w:rsidRDefault="00A26C1F" w:rsidP="00A26C1F">
      <w:pPr>
        <w:widowControl w:val="0"/>
        <w:pBdr>
          <w:top w:val="nil"/>
          <w:left w:val="nil"/>
          <w:bottom w:val="nil"/>
          <w:right w:val="nil"/>
          <w:between w:val="nil"/>
        </w:pBdr>
        <w:spacing w:before="360" w:after="120" w:line="360" w:lineRule="auto"/>
        <w:jc w:val="center"/>
        <w:rPr>
          <w:rFonts w:ascii="Arial" w:eastAsia="Times New Roman" w:hAnsi="Arial" w:cs="Arial"/>
          <w:color w:val="000000"/>
          <w:sz w:val="24"/>
          <w:szCs w:val="24"/>
          <w:u w:val="single"/>
        </w:rPr>
      </w:pPr>
      <w:r w:rsidRPr="00A26C1F">
        <w:rPr>
          <w:rFonts w:ascii="Arial" w:eastAsia="Times New Roman" w:hAnsi="Arial" w:cs="Arial"/>
          <w:color w:val="000000"/>
          <w:sz w:val="24"/>
          <w:szCs w:val="24"/>
          <w:u w:val="single"/>
          <w:rtl/>
        </w:rPr>
        <w:t>דברי הסבר</w:t>
      </w:r>
    </w:p>
    <w:p w14:paraId="5BD1175A" w14:textId="77777777" w:rsidR="00A26C1F" w:rsidRPr="00A26C1F" w:rsidRDefault="00A26C1F" w:rsidP="00A26C1F">
      <w:pPr>
        <w:widowControl w:val="0"/>
        <w:pBdr>
          <w:top w:val="nil"/>
          <w:left w:val="nil"/>
          <w:bottom w:val="nil"/>
          <w:right w:val="nil"/>
          <w:between w:val="nil"/>
        </w:pBdr>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הצעת חוק זו באה כדי להסדיר בחוק העונשין את העבירות על תקיפת עיתונאים, זאת על רקע אלימות שהייתה מצד מפגינים ומצד משטרת ישראל נגד אנשי תקשורת אשר הציגו את תעודתם. עיתונות חופשית היא מאבני היסוד של הדמוקרטיה ונחשבת כאחד מכלבי השמירה של הציבור מפני ניצול לא ראוי של הכוח השלטוני מצד פוליטיקאים או הכלכלי מצד בעלי ההון. במסגרת עקרון העיתונות החופשית נקבעו מספר הגנות לעיתונאיות ולעיתונאים בכדי שיוכלו לבצע את מלאכתם בצורה המקצועית ביותר – ולהביא לציבור את כלל המידע – גם מאירועים מורכבים כמו הפגנות, מבצעים צבאיים ועוד.  </w:t>
      </w:r>
    </w:p>
    <w:p w14:paraId="7F79C0AB" w14:textId="77777777" w:rsidR="00A26C1F" w:rsidRPr="00A26C1F" w:rsidRDefault="00A26C1F" w:rsidP="00A26C1F">
      <w:pPr>
        <w:widowControl w:val="0"/>
        <w:pBdr>
          <w:top w:val="nil"/>
          <w:left w:val="nil"/>
          <w:bottom w:val="nil"/>
          <w:right w:val="nil"/>
          <w:between w:val="nil"/>
        </w:pBdr>
        <w:spacing w:after="0" w:line="360" w:lineRule="auto"/>
        <w:ind w:firstLine="340"/>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כדי להגן על הזכות לחיים וביטחון של העיתונאים, על זכות חופש העיסוק שמוכרת בחוק יסוד </w:t>
      </w:r>
      <w:r w:rsidRPr="00A26C1F">
        <w:rPr>
          <w:rFonts w:ascii="Arial" w:eastAsia="Times New Roman" w:hAnsi="Arial" w:cs="Arial"/>
          <w:color w:val="000000"/>
          <w:sz w:val="24"/>
          <w:szCs w:val="24"/>
          <w:rtl/>
        </w:rPr>
        <w:lastRenderedPageBreak/>
        <w:t xml:space="preserve">ועל הזכות לחופש הביטוי ולחופש העיתונות אנו מציעים לקבוע בחוק העונשין עבירה פלילית בקשר לתקיפת עיתונאי – כפי שמוצע בס' 276ב לעיל. </w:t>
      </w:r>
    </w:p>
    <w:p w14:paraId="7CE14C50" w14:textId="77777777" w:rsidR="00A26C1F" w:rsidRPr="00A26C1F" w:rsidRDefault="00A26C1F" w:rsidP="00A26C1F">
      <w:pPr>
        <w:widowControl w:val="0"/>
        <w:pBdr>
          <w:top w:val="nil"/>
          <w:left w:val="nil"/>
          <w:bottom w:val="nil"/>
          <w:right w:val="nil"/>
          <w:between w:val="nil"/>
        </w:pBdr>
        <w:spacing w:after="0" w:line="360" w:lineRule="auto"/>
        <w:ind w:firstLine="340"/>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ס' 276ג קובע שלושה מצבים אשר בהם יש לקבוע עונש חמור יותר נוכח הרקע למעשים האמורים. המקרה הראשון הוא כאשר התקיפה מתבצעת באמצעות נשק – קר או חם – אשר יכול להוות איום לחיי אותו עיתונאי. גם ללא פגיעה חמורה בגופו של העיתונאי, עצם נשיאת ציוד שכזה על ידי התוקף מהווה נסיבה מחמירה שיש להתחשב בה בעת קביעת מתחם העונש. </w:t>
      </w:r>
    </w:p>
    <w:p w14:paraId="6A39A45A" w14:textId="77777777" w:rsidR="00A26C1F" w:rsidRPr="00A26C1F" w:rsidRDefault="00A26C1F" w:rsidP="00A26C1F">
      <w:pPr>
        <w:widowControl w:val="0"/>
        <w:pBdr>
          <w:top w:val="nil"/>
          <w:left w:val="nil"/>
          <w:bottom w:val="nil"/>
          <w:right w:val="nil"/>
          <w:between w:val="nil"/>
        </w:pBdr>
        <w:spacing w:after="0" w:line="360" w:lineRule="auto"/>
        <w:ind w:firstLine="340"/>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המקרה השני הוא כאשר שוטר תוקף עיתונאי ובכך מפריע לו לבצע את תפקידו – לאחר שנכח וידע כי אותו האדם הוא אכן עיתונאי. השוטרים נמצאים פעמים רבות בסביבת אותם אירועים מורכבים בהם השמירה על זכות חופש העיתונאי עשויה להיות חשובה אף יותר. נוכח זאת, ההוראה המוצעת בחוק העונשין נועדה להבהיר כי המשטרה צריכה לנהוג בעיתונאים בצורה הוגנת ומאופקת ביותר. </w:t>
      </w:r>
    </w:p>
    <w:p w14:paraId="4063044F" w14:textId="77777777" w:rsidR="00A26C1F" w:rsidRPr="00A26C1F" w:rsidRDefault="00A26C1F" w:rsidP="00A26C1F">
      <w:pPr>
        <w:widowControl w:val="0"/>
        <w:pBdr>
          <w:top w:val="nil"/>
          <w:left w:val="nil"/>
          <w:bottom w:val="nil"/>
          <w:right w:val="nil"/>
          <w:between w:val="nil"/>
        </w:pBdr>
        <w:spacing w:after="0" w:line="360" w:lineRule="auto"/>
        <w:ind w:firstLine="340"/>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המקרה השלישי הוא כאשר בוצעה תקיפה שאינה על רקע עיתונאי בלבד אלא גם בקשר לדעות פוליטיות משוערות של העיתונאי, רקעו הלאומי או המגדר אליו הוא משתייך. עיתונאים ממיעוטים פוליטיים חשופים יתר על המידה לתקיפות אלימות, ובתקיפות אלו יש סממן של פגיעה בכבוד האדם. על כן, נקבע גם במקרים אלו תקיפה בנסיבות מחמירות. </w:t>
      </w:r>
    </w:p>
    <w:p w14:paraId="31A92EF4" w14:textId="77777777" w:rsidR="00A26C1F" w:rsidRPr="00A26C1F" w:rsidRDefault="00A26C1F" w:rsidP="00A26C1F">
      <w:pPr>
        <w:widowControl w:val="0"/>
        <w:pBdr>
          <w:top w:val="nil"/>
          <w:left w:val="nil"/>
          <w:bottom w:val="nil"/>
          <w:right w:val="nil"/>
          <w:between w:val="nil"/>
        </w:pBdr>
        <w:spacing w:after="0" w:line="360" w:lineRule="auto"/>
        <w:ind w:firstLine="340"/>
        <w:jc w:val="both"/>
        <w:rPr>
          <w:rFonts w:ascii="Arial" w:eastAsia="Times New Roman" w:hAnsi="Arial" w:cs="Arial"/>
          <w:color w:val="000000"/>
          <w:sz w:val="24"/>
          <w:szCs w:val="24"/>
        </w:rPr>
      </w:pPr>
    </w:p>
    <w:p w14:paraId="427B21D4" w14:textId="77777777" w:rsidR="00A26C1F" w:rsidRPr="00A26C1F" w:rsidRDefault="00A26C1F" w:rsidP="00A26C1F">
      <w:pPr>
        <w:widowControl w:val="0"/>
        <w:pBdr>
          <w:top w:val="nil"/>
          <w:left w:val="nil"/>
          <w:bottom w:val="nil"/>
          <w:right w:val="nil"/>
          <w:between w:val="nil"/>
        </w:pBdr>
        <w:spacing w:after="0" w:line="360" w:lineRule="auto"/>
        <w:ind w:firstLine="340"/>
        <w:jc w:val="both"/>
        <w:rPr>
          <w:rFonts w:ascii="Arial" w:eastAsia="Times New Roman" w:hAnsi="Arial" w:cs="Arial"/>
          <w:color w:val="000000"/>
          <w:sz w:val="24"/>
          <w:szCs w:val="24"/>
        </w:rPr>
      </w:pPr>
    </w:p>
    <w:p w14:paraId="08CD9E08" w14:textId="619B1F58" w:rsidR="00A26C1F" w:rsidRPr="00A26C1F" w:rsidRDefault="00A26C1F" w:rsidP="00A26C1F">
      <w:pPr>
        <w:jc w:val="both"/>
        <w:rPr>
          <w:rFonts w:ascii="Arial" w:eastAsia="Times New Roman" w:hAnsi="Arial" w:cs="Arial"/>
          <w:sz w:val="24"/>
          <w:szCs w:val="24"/>
        </w:rPr>
      </w:pPr>
    </w:p>
    <w:p w14:paraId="170E6D7B" w14:textId="1F8ABA7D" w:rsidR="00A26C1F" w:rsidRPr="00A26C1F" w:rsidRDefault="00A26C1F" w:rsidP="00A26C1F">
      <w:pPr>
        <w:jc w:val="both"/>
        <w:rPr>
          <w:rFonts w:ascii="Arial" w:eastAsia="Times New Roman" w:hAnsi="Arial" w:cs="Arial"/>
          <w:sz w:val="24"/>
          <w:szCs w:val="24"/>
        </w:rPr>
      </w:pPr>
    </w:p>
    <w:p w14:paraId="282106BB" w14:textId="160C0C0D" w:rsidR="00A26C1F" w:rsidRPr="00A26C1F" w:rsidRDefault="00A26C1F" w:rsidP="00A26C1F">
      <w:pPr>
        <w:jc w:val="both"/>
        <w:rPr>
          <w:rFonts w:ascii="Arial" w:eastAsia="Times New Roman" w:hAnsi="Arial" w:cs="Arial"/>
          <w:sz w:val="24"/>
          <w:szCs w:val="24"/>
        </w:rPr>
      </w:pPr>
    </w:p>
    <w:p w14:paraId="67371993" w14:textId="47DD07D9" w:rsidR="00A26C1F" w:rsidRPr="00A26C1F" w:rsidRDefault="00A26C1F" w:rsidP="00A26C1F">
      <w:pPr>
        <w:jc w:val="both"/>
        <w:rPr>
          <w:rFonts w:ascii="Arial" w:eastAsia="Times New Roman" w:hAnsi="Arial" w:cs="Arial"/>
          <w:sz w:val="24"/>
          <w:szCs w:val="24"/>
        </w:rPr>
      </w:pPr>
    </w:p>
    <w:p w14:paraId="0582FBCF" w14:textId="0D02DDDD" w:rsidR="00A26C1F" w:rsidRPr="00A26C1F" w:rsidRDefault="00A26C1F" w:rsidP="00A26C1F">
      <w:pPr>
        <w:jc w:val="both"/>
        <w:rPr>
          <w:rFonts w:ascii="Arial" w:eastAsia="Times New Roman" w:hAnsi="Arial" w:cs="Arial"/>
          <w:sz w:val="24"/>
          <w:szCs w:val="24"/>
        </w:rPr>
      </w:pPr>
    </w:p>
    <w:p w14:paraId="42061A76" w14:textId="7F31FD07" w:rsidR="00A26C1F" w:rsidRPr="00A26C1F" w:rsidRDefault="00A26C1F" w:rsidP="00A26C1F">
      <w:pPr>
        <w:jc w:val="both"/>
        <w:rPr>
          <w:rFonts w:ascii="Arial" w:eastAsia="Times New Roman" w:hAnsi="Arial" w:cs="Arial"/>
          <w:sz w:val="24"/>
          <w:szCs w:val="24"/>
        </w:rPr>
      </w:pPr>
    </w:p>
    <w:p w14:paraId="3BC4DF6B" w14:textId="0ABBD8AD" w:rsidR="00A26C1F" w:rsidRPr="00A26C1F" w:rsidRDefault="00A26C1F" w:rsidP="00A26C1F">
      <w:pPr>
        <w:jc w:val="both"/>
        <w:rPr>
          <w:rFonts w:ascii="Arial" w:eastAsia="Times New Roman" w:hAnsi="Arial" w:cs="Arial"/>
          <w:sz w:val="24"/>
          <w:szCs w:val="24"/>
        </w:rPr>
      </w:pPr>
    </w:p>
    <w:p w14:paraId="63741F4A" w14:textId="78E14DCB" w:rsidR="00A26C1F" w:rsidRPr="00A26C1F" w:rsidRDefault="00A26C1F" w:rsidP="00A26C1F">
      <w:pPr>
        <w:jc w:val="both"/>
        <w:rPr>
          <w:rFonts w:ascii="Arial" w:eastAsia="Times New Roman" w:hAnsi="Arial" w:cs="Arial"/>
          <w:sz w:val="24"/>
          <w:szCs w:val="24"/>
        </w:rPr>
      </w:pPr>
    </w:p>
    <w:p w14:paraId="767264DF" w14:textId="1D94B03B" w:rsidR="00A26C1F" w:rsidRPr="00A26C1F" w:rsidRDefault="00A26C1F" w:rsidP="00A26C1F">
      <w:pPr>
        <w:jc w:val="both"/>
        <w:rPr>
          <w:rFonts w:ascii="Arial" w:eastAsia="Times New Roman" w:hAnsi="Arial" w:cs="Arial"/>
          <w:sz w:val="24"/>
          <w:szCs w:val="24"/>
        </w:rPr>
      </w:pPr>
    </w:p>
    <w:p w14:paraId="6C398C97" w14:textId="76D36FCB" w:rsidR="00A26C1F" w:rsidRPr="00A26C1F" w:rsidRDefault="00A26C1F" w:rsidP="00A26C1F">
      <w:pPr>
        <w:jc w:val="both"/>
        <w:rPr>
          <w:rFonts w:ascii="Arial" w:eastAsia="Times New Roman" w:hAnsi="Arial" w:cs="Arial"/>
          <w:sz w:val="24"/>
          <w:szCs w:val="24"/>
        </w:rPr>
      </w:pPr>
    </w:p>
    <w:p w14:paraId="2874B12A" w14:textId="1FBD59D3" w:rsidR="00A26C1F" w:rsidRPr="00A26C1F" w:rsidRDefault="00A26C1F" w:rsidP="00A26C1F">
      <w:pPr>
        <w:jc w:val="both"/>
        <w:rPr>
          <w:rFonts w:ascii="Arial" w:eastAsia="Times New Roman" w:hAnsi="Arial" w:cs="Arial"/>
          <w:sz w:val="24"/>
          <w:szCs w:val="24"/>
        </w:rPr>
      </w:pPr>
    </w:p>
    <w:p w14:paraId="3E2BA4A8" w14:textId="2B5892EE" w:rsidR="00A26C1F" w:rsidRPr="00A26C1F" w:rsidRDefault="00A26C1F" w:rsidP="00A26C1F">
      <w:pPr>
        <w:jc w:val="both"/>
        <w:rPr>
          <w:rFonts w:ascii="Arial" w:eastAsia="Times New Roman" w:hAnsi="Arial" w:cs="Arial"/>
          <w:sz w:val="24"/>
          <w:szCs w:val="24"/>
        </w:rPr>
      </w:pPr>
    </w:p>
    <w:p w14:paraId="00097C65" w14:textId="06F5F08F" w:rsidR="00A26C1F" w:rsidRPr="00A26C1F" w:rsidRDefault="00A26C1F" w:rsidP="00A26C1F">
      <w:pPr>
        <w:jc w:val="both"/>
        <w:rPr>
          <w:rFonts w:ascii="Arial" w:eastAsia="Times New Roman" w:hAnsi="Arial" w:cs="Arial"/>
          <w:sz w:val="24"/>
          <w:szCs w:val="24"/>
        </w:rPr>
      </w:pPr>
    </w:p>
    <w:p w14:paraId="241A4477" w14:textId="1EC1584D" w:rsidR="00A26C1F" w:rsidRPr="00A26C1F" w:rsidRDefault="00A26C1F" w:rsidP="00A26C1F">
      <w:pPr>
        <w:jc w:val="both"/>
        <w:rPr>
          <w:rFonts w:ascii="Arial" w:eastAsia="Times New Roman" w:hAnsi="Arial" w:cs="Arial"/>
          <w:sz w:val="24"/>
          <w:szCs w:val="24"/>
        </w:rPr>
      </w:pPr>
    </w:p>
    <w:p w14:paraId="74E42B57" w14:textId="77777777" w:rsidR="00A26C1F" w:rsidRDefault="00A26C1F" w:rsidP="00A26C1F">
      <w:pPr>
        <w:jc w:val="center"/>
        <w:rPr>
          <w:rFonts w:ascii="Arial" w:eastAsia="Times New Roman" w:hAnsi="Arial" w:cs="Arial"/>
          <w:sz w:val="24"/>
          <w:szCs w:val="24"/>
        </w:rPr>
      </w:pPr>
    </w:p>
    <w:p w14:paraId="53344E7B" w14:textId="0FA2D579" w:rsidR="00A26C1F" w:rsidRPr="00A26C1F" w:rsidRDefault="00A26C1F" w:rsidP="00A26C1F">
      <w:pPr>
        <w:jc w:val="center"/>
        <w:rPr>
          <w:rFonts w:ascii="Arial" w:eastAsia="Times New Roman" w:hAnsi="Arial" w:cs="Arial"/>
          <w:b/>
          <w:sz w:val="24"/>
          <w:szCs w:val="24"/>
          <w:u w:val="single"/>
        </w:rPr>
      </w:pPr>
      <w:r w:rsidRPr="00A26C1F">
        <w:rPr>
          <w:rFonts w:ascii="Arial" w:eastAsia="Times New Roman" w:hAnsi="Arial" w:cs="Arial"/>
          <w:b/>
          <w:sz w:val="24"/>
          <w:szCs w:val="24"/>
          <w:u w:val="single"/>
          <w:rtl/>
        </w:rPr>
        <w:lastRenderedPageBreak/>
        <w:t>נספח ב'</w:t>
      </w:r>
    </w:p>
    <w:p w14:paraId="18B399A8" w14:textId="77777777" w:rsidR="00A26C1F" w:rsidRPr="00A26C1F" w:rsidRDefault="00A26C1F" w:rsidP="00A26C1F">
      <w:pPr>
        <w:keepNext/>
        <w:keepLines/>
        <w:widowControl w:val="0"/>
        <w:pBdr>
          <w:top w:val="nil"/>
          <w:left w:val="nil"/>
          <w:bottom w:val="nil"/>
          <w:right w:val="nil"/>
          <w:between w:val="nil"/>
        </w:pBdr>
        <w:spacing w:before="240" w:after="0" w:line="360" w:lineRule="auto"/>
        <w:jc w:val="center"/>
        <w:rPr>
          <w:rFonts w:ascii="Arial" w:eastAsia="Times New Roman" w:hAnsi="Arial" w:cs="Arial"/>
          <w:b/>
          <w:color w:val="000000"/>
          <w:sz w:val="24"/>
          <w:szCs w:val="24"/>
        </w:rPr>
      </w:pPr>
    </w:p>
    <w:p w14:paraId="3D1A74C2" w14:textId="77777777" w:rsidR="00A26C1F" w:rsidRPr="00A26C1F" w:rsidRDefault="00A26C1F" w:rsidP="00A26C1F">
      <w:pPr>
        <w:keepNext/>
        <w:keepLines/>
        <w:widowControl w:val="0"/>
        <w:pBdr>
          <w:top w:val="nil"/>
          <w:left w:val="nil"/>
          <w:bottom w:val="nil"/>
          <w:right w:val="nil"/>
          <w:between w:val="nil"/>
        </w:pBdr>
        <w:spacing w:before="240" w:after="0" w:line="360" w:lineRule="auto"/>
        <w:jc w:val="center"/>
        <w:rPr>
          <w:rFonts w:ascii="Arial" w:eastAsia="Times New Roman" w:hAnsi="Arial" w:cs="Arial"/>
          <w:b/>
          <w:color w:val="000000"/>
          <w:sz w:val="24"/>
          <w:szCs w:val="24"/>
        </w:rPr>
      </w:pPr>
      <w:r w:rsidRPr="00A26C1F">
        <w:rPr>
          <w:rFonts w:ascii="Arial" w:eastAsia="Times New Roman" w:hAnsi="Arial" w:cs="Arial"/>
          <w:b/>
          <w:color w:val="000000"/>
          <w:sz w:val="24"/>
          <w:szCs w:val="24"/>
          <w:rtl/>
        </w:rPr>
        <w:t xml:space="preserve">הצעת חוק למניעת הטרדה מאיימת (תיקון – הגנה על עיתונאים), </w:t>
      </w:r>
      <w:proofErr w:type="spellStart"/>
      <w:r w:rsidRPr="00A26C1F">
        <w:rPr>
          <w:rFonts w:ascii="Arial" w:eastAsia="Times New Roman" w:hAnsi="Arial" w:cs="Arial"/>
          <w:b/>
          <w:color w:val="000000"/>
          <w:sz w:val="24"/>
          <w:szCs w:val="24"/>
          <w:rtl/>
        </w:rPr>
        <w:t>התש"פ</w:t>
      </w:r>
      <w:proofErr w:type="spellEnd"/>
      <w:r w:rsidRPr="00A26C1F">
        <w:rPr>
          <w:rFonts w:ascii="Arial" w:eastAsia="Times New Roman" w:hAnsi="Arial" w:cs="Arial"/>
          <w:b/>
          <w:color w:val="000000"/>
          <w:sz w:val="24"/>
          <w:szCs w:val="24"/>
          <w:rtl/>
        </w:rPr>
        <w:t xml:space="preserve"> – 2020 </w:t>
      </w:r>
    </w:p>
    <w:p w14:paraId="3AFE0F31" w14:textId="77777777" w:rsidR="00A26C1F" w:rsidRPr="00A26C1F" w:rsidRDefault="00A26C1F" w:rsidP="00A26C1F">
      <w:pPr>
        <w:keepNext/>
        <w:keepLines/>
        <w:widowControl w:val="0"/>
        <w:pBdr>
          <w:top w:val="nil"/>
          <w:left w:val="nil"/>
          <w:bottom w:val="nil"/>
          <w:right w:val="nil"/>
          <w:between w:val="nil"/>
        </w:pBdr>
        <w:spacing w:before="240" w:after="0" w:line="360" w:lineRule="auto"/>
        <w:jc w:val="center"/>
        <w:rPr>
          <w:rFonts w:ascii="Arial" w:eastAsia="Times New Roman" w:hAnsi="Arial" w:cs="Arial"/>
          <w:b/>
          <w:color w:val="000000"/>
          <w:sz w:val="24"/>
          <w:szCs w:val="24"/>
        </w:rPr>
      </w:pPr>
    </w:p>
    <w:tbl>
      <w:tblPr>
        <w:bidiVisual/>
        <w:tblW w:w="9645" w:type="dxa"/>
        <w:tblInd w:w="6" w:type="dxa"/>
        <w:tblLayout w:type="fixed"/>
        <w:tblLook w:val="0400" w:firstRow="0" w:lastRow="0" w:firstColumn="0" w:lastColumn="0" w:noHBand="0" w:noVBand="1"/>
      </w:tblPr>
      <w:tblGrid>
        <w:gridCol w:w="1990"/>
        <w:gridCol w:w="506"/>
        <w:gridCol w:w="624"/>
        <w:gridCol w:w="6525"/>
      </w:tblGrid>
      <w:tr w:rsidR="00A26C1F" w:rsidRPr="00A26C1F" w14:paraId="6983994A" w14:textId="77777777" w:rsidTr="00AA6476">
        <w:trPr>
          <w:trHeight w:val="60"/>
        </w:trPr>
        <w:tc>
          <w:tcPr>
            <w:tcW w:w="1990" w:type="dxa"/>
          </w:tcPr>
          <w:p w14:paraId="3F99A70A"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rPr>
                <w:rFonts w:ascii="Arial" w:eastAsia="Times New Roman" w:hAnsi="Arial" w:cs="Arial"/>
                <w:color w:val="000000"/>
                <w:sz w:val="24"/>
                <w:szCs w:val="24"/>
              </w:rPr>
            </w:pPr>
            <w:r w:rsidRPr="00A26C1F">
              <w:rPr>
                <w:rFonts w:ascii="Arial" w:eastAsia="Times New Roman" w:hAnsi="Arial" w:cs="Arial"/>
                <w:color w:val="000000"/>
                <w:sz w:val="24"/>
                <w:szCs w:val="24"/>
                <w:rtl/>
              </w:rPr>
              <w:t>תיקון חוק מניעת הטרדה מאיימת</w:t>
            </w:r>
          </w:p>
        </w:tc>
        <w:tc>
          <w:tcPr>
            <w:tcW w:w="506" w:type="dxa"/>
          </w:tcPr>
          <w:p w14:paraId="04A9F51E"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r w:rsidRPr="00A26C1F">
              <w:rPr>
                <w:rFonts w:ascii="Arial" w:eastAsia="Times New Roman" w:hAnsi="Arial" w:cs="Arial"/>
                <w:color w:val="000000"/>
                <w:sz w:val="24"/>
                <w:szCs w:val="24"/>
              </w:rPr>
              <w:t>2.</w:t>
            </w:r>
          </w:p>
        </w:tc>
        <w:tc>
          <w:tcPr>
            <w:tcW w:w="7149" w:type="dxa"/>
            <w:gridSpan w:val="2"/>
          </w:tcPr>
          <w:p w14:paraId="072D222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בחוק למניעת הטרדה מאיימת, </w:t>
            </w:r>
            <w:proofErr w:type="spellStart"/>
            <w:r w:rsidRPr="00A26C1F">
              <w:rPr>
                <w:rFonts w:ascii="Arial" w:eastAsia="Times New Roman" w:hAnsi="Arial" w:cs="Arial"/>
                <w:color w:val="000000"/>
                <w:sz w:val="24"/>
                <w:szCs w:val="24"/>
                <w:rtl/>
              </w:rPr>
              <w:t>התשס"ב</w:t>
            </w:r>
            <w:proofErr w:type="spellEnd"/>
            <w:r w:rsidRPr="00A26C1F">
              <w:rPr>
                <w:rFonts w:ascii="Arial" w:eastAsia="Times New Roman" w:hAnsi="Arial" w:cs="Arial"/>
                <w:color w:val="000000"/>
                <w:sz w:val="24"/>
                <w:szCs w:val="24"/>
                <w:rtl/>
              </w:rPr>
              <w:t>–2001</w:t>
            </w:r>
            <w:r w:rsidRPr="00A26C1F">
              <w:rPr>
                <w:rFonts w:ascii="Arial" w:eastAsia="Times New Roman" w:hAnsi="Arial" w:cs="Arial"/>
                <w:color w:val="000000"/>
                <w:sz w:val="24"/>
                <w:szCs w:val="24"/>
                <w:vertAlign w:val="superscript"/>
              </w:rPr>
              <w:footnoteReference w:id="1"/>
            </w:r>
            <w:r w:rsidRPr="00A26C1F">
              <w:rPr>
                <w:rFonts w:ascii="Arial" w:eastAsia="Times New Roman" w:hAnsi="Arial" w:cs="Arial"/>
                <w:color w:val="000000"/>
                <w:sz w:val="24"/>
                <w:szCs w:val="24"/>
              </w:rPr>
              <w:t xml:space="preserve"> –</w:t>
            </w:r>
          </w:p>
        </w:tc>
      </w:tr>
      <w:tr w:rsidR="00A26C1F" w:rsidRPr="00A26C1F" w14:paraId="7354A823" w14:textId="77777777" w:rsidTr="00AA6476">
        <w:trPr>
          <w:trHeight w:val="60"/>
        </w:trPr>
        <w:tc>
          <w:tcPr>
            <w:tcW w:w="1990" w:type="dxa"/>
          </w:tcPr>
          <w:p w14:paraId="789CA065"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2BC22DD7"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7149" w:type="dxa"/>
            <w:gridSpan w:val="2"/>
          </w:tcPr>
          <w:p w14:paraId="5365615A"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r w:rsidRPr="00A26C1F">
              <w:rPr>
                <w:rFonts w:ascii="Arial" w:eastAsia="Times New Roman" w:hAnsi="Arial" w:cs="Arial"/>
                <w:color w:val="000000"/>
                <w:sz w:val="24"/>
                <w:szCs w:val="24"/>
                <w:rtl/>
              </w:rPr>
              <w:t>(1)</w:t>
            </w:r>
            <w:r w:rsidRPr="00A26C1F">
              <w:rPr>
                <w:rFonts w:ascii="Arial" w:eastAsia="Times New Roman" w:hAnsi="Arial" w:cs="Arial"/>
                <w:color w:val="000000"/>
                <w:sz w:val="24"/>
                <w:szCs w:val="24"/>
                <w:rtl/>
              </w:rPr>
              <w:tab/>
              <w:t>בסעיף 3 אחרי ההגדרה "רשות ביטחון" יבוא:</w:t>
            </w:r>
          </w:p>
        </w:tc>
      </w:tr>
      <w:tr w:rsidR="00A26C1F" w:rsidRPr="00A26C1F" w14:paraId="6A6AA4E8" w14:textId="77777777" w:rsidTr="00AA6476">
        <w:trPr>
          <w:trHeight w:val="1893"/>
        </w:trPr>
        <w:tc>
          <w:tcPr>
            <w:tcW w:w="1990" w:type="dxa"/>
          </w:tcPr>
          <w:p w14:paraId="11C33CE1"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0A034873"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7149" w:type="dxa"/>
            <w:gridSpan w:val="2"/>
          </w:tcPr>
          <w:p w14:paraId="3AFF2CE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left="624" w:hanging="624"/>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""עיתונאי" – אדם בעל תעודת עיתונאי בתוקף שהונפקה על ידי לשכת העיתונות הממשלתית ואשר עבד בפועל בגוף תקשורת או באופן עצמאי."</w:t>
            </w:r>
          </w:p>
        </w:tc>
      </w:tr>
      <w:tr w:rsidR="00A26C1F" w:rsidRPr="00A26C1F" w14:paraId="5B37C024" w14:textId="77777777" w:rsidTr="00AA6476">
        <w:trPr>
          <w:trHeight w:val="60"/>
        </w:trPr>
        <w:tc>
          <w:tcPr>
            <w:tcW w:w="1990" w:type="dxa"/>
          </w:tcPr>
          <w:p w14:paraId="18455650"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370D027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7149" w:type="dxa"/>
            <w:gridSpan w:val="2"/>
          </w:tcPr>
          <w:p w14:paraId="0924936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r w:rsidRPr="00A26C1F">
              <w:rPr>
                <w:rFonts w:ascii="Arial" w:eastAsia="Times New Roman" w:hAnsi="Arial" w:cs="Arial"/>
                <w:color w:val="000000"/>
                <w:sz w:val="24"/>
                <w:szCs w:val="24"/>
                <w:rtl/>
              </w:rPr>
              <w:t>(2)</w:t>
            </w:r>
            <w:r w:rsidRPr="00A26C1F">
              <w:rPr>
                <w:rFonts w:ascii="Arial" w:eastAsia="Times New Roman" w:hAnsi="Arial" w:cs="Arial"/>
                <w:color w:val="000000"/>
                <w:sz w:val="24"/>
                <w:szCs w:val="24"/>
                <w:rtl/>
              </w:rPr>
              <w:tab/>
              <w:t xml:space="preserve">בסעיף  4 – </w:t>
            </w:r>
          </w:p>
        </w:tc>
      </w:tr>
      <w:tr w:rsidR="00A26C1F" w:rsidRPr="00A26C1F" w14:paraId="38E60246" w14:textId="77777777" w:rsidTr="00AA6476">
        <w:trPr>
          <w:trHeight w:val="60"/>
        </w:trPr>
        <w:tc>
          <w:tcPr>
            <w:tcW w:w="1990" w:type="dxa"/>
          </w:tcPr>
          <w:p w14:paraId="04D30A3C"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2F3C5B84"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24" w:type="dxa"/>
          </w:tcPr>
          <w:p w14:paraId="398FA7E0"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525" w:type="dxa"/>
          </w:tcPr>
          <w:p w14:paraId="57281CCE"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אחרי סעיף קטן (ג) יבוא:</w:t>
            </w:r>
          </w:p>
        </w:tc>
      </w:tr>
      <w:tr w:rsidR="00A26C1F" w:rsidRPr="00A26C1F" w14:paraId="6E7EF135" w14:textId="77777777" w:rsidTr="00AA6476">
        <w:trPr>
          <w:trHeight w:val="60"/>
        </w:trPr>
        <w:tc>
          <w:tcPr>
            <w:tcW w:w="1990" w:type="dxa"/>
          </w:tcPr>
          <w:p w14:paraId="6AF1FF6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60E13484"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24" w:type="dxa"/>
          </w:tcPr>
          <w:p w14:paraId="3AA89B13"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525" w:type="dxa"/>
          </w:tcPr>
          <w:p w14:paraId="7151E9B0"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"(ג1)</w:t>
            </w:r>
            <w:r w:rsidRPr="00A26C1F">
              <w:rPr>
                <w:rFonts w:ascii="Arial" w:eastAsia="Times New Roman" w:hAnsi="Arial" w:cs="Arial"/>
                <w:color w:val="000000"/>
                <w:sz w:val="24"/>
                <w:szCs w:val="24"/>
                <w:rtl/>
              </w:rPr>
              <w:tab/>
              <w:t xml:space="preserve">נוכח בית המשפט כי נקט אדם בהטרדה מאיימת כנגד עיתונאי בעת מילוי תפקידו או בנוגע למילוי תפקידו, יהווה הדבר שיקול מרכזי בהפעלתו את הוראות  סעיפים קטנים (א) עד (ג)."  </w:t>
            </w:r>
          </w:p>
        </w:tc>
      </w:tr>
      <w:tr w:rsidR="00A26C1F" w:rsidRPr="00A26C1F" w14:paraId="719339F3" w14:textId="77777777" w:rsidTr="00AA6476">
        <w:trPr>
          <w:trHeight w:val="60"/>
        </w:trPr>
        <w:tc>
          <w:tcPr>
            <w:tcW w:w="1990" w:type="dxa"/>
          </w:tcPr>
          <w:p w14:paraId="16F86A3A"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5310032B"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24" w:type="dxa"/>
          </w:tcPr>
          <w:p w14:paraId="28566921"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r w:rsidRPr="00A26C1F">
              <w:rPr>
                <w:rFonts w:ascii="Arial" w:eastAsia="Times New Roman" w:hAnsi="Arial" w:cs="Arial"/>
                <w:color w:val="000000"/>
                <w:sz w:val="24"/>
                <w:szCs w:val="24"/>
              </w:rPr>
              <w:t>(3)</w:t>
            </w:r>
          </w:p>
        </w:tc>
        <w:tc>
          <w:tcPr>
            <w:tcW w:w="6525" w:type="dxa"/>
          </w:tcPr>
          <w:p w14:paraId="160BEF08"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בסעיף 8 - </w:t>
            </w:r>
          </w:p>
          <w:p w14:paraId="62DDC9CA"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אחרי סעיף קטן (ב) יבוא:</w:t>
            </w:r>
          </w:p>
        </w:tc>
      </w:tr>
      <w:tr w:rsidR="00A26C1F" w:rsidRPr="00A26C1F" w14:paraId="2CC424A5" w14:textId="77777777" w:rsidTr="00AA6476">
        <w:trPr>
          <w:trHeight w:val="60"/>
        </w:trPr>
        <w:tc>
          <w:tcPr>
            <w:tcW w:w="1990" w:type="dxa"/>
          </w:tcPr>
          <w:p w14:paraId="38230AE0"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506" w:type="dxa"/>
          </w:tcPr>
          <w:p w14:paraId="336506EC"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24" w:type="dxa"/>
          </w:tcPr>
          <w:p w14:paraId="45C75384"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ind w:right="57"/>
              <w:rPr>
                <w:rFonts w:ascii="Arial" w:eastAsia="Times New Roman" w:hAnsi="Arial" w:cs="Arial"/>
                <w:color w:val="000000"/>
                <w:sz w:val="24"/>
                <w:szCs w:val="24"/>
              </w:rPr>
            </w:pPr>
          </w:p>
        </w:tc>
        <w:tc>
          <w:tcPr>
            <w:tcW w:w="6525" w:type="dxa"/>
          </w:tcPr>
          <w:p w14:paraId="0ADBC93F" w14:textId="77777777" w:rsidR="00A26C1F" w:rsidRPr="00A26C1F" w:rsidRDefault="00A26C1F" w:rsidP="00AA6476">
            <w:pPr>
              <w:keepLines/>
              <w:widowControl w:val="0"/>
              <w:pBdr>
                <w:top w:val="nil"/>
                <w:left w:val="nil"/>
                <w:bottom w:val="nil"/>
                <w:right w:val="nil"/>
                <w:between w:val="nil"/>
              </w:pBdr>
              <w:tabs>
                <w:tab w:val="left" w:pos="624"/>
                <w:tab w:val="left" w:pos="1247"/>
              </w:tabs>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"(ג)</w:t>
            </w:r>
            <w:r w:rsidRPr="00A26C1F">
              <w:rPr>
                <w:rFonts w:ascii="Arial" w:eastAsia="Times New Roman" w:hAnsi="Arial" w:cs="Arial"/>
                <w:color w:val="000000"/>
                <w:sz w:val="24"/>
                <w:szCs w:val="24"/>
                <w:rtl/>
              </w:rPr>
              <w:tab/>
              <w:t>הפרת צו כנגד עיתונאי ניתן יהיה לפסוק פיצוי ללא הוכחת נזק עד סכום של 20,000."</w:t>
            </w:r>
          </w:p>
        </w:tc>
      </w:tr>
    </w:tbl>
    <w:p w14:paraId="7BBE8E9A" w14:textId="77777777" w:rsidR="00A26C1F" w:rsidRPr="00A26C1F" w:rsidRDefault="00A26C1F" w:rsidP="00A26C1F">
      <w:pPr>
        <w:widowControl w:val="0"/>
        <w:pBdr>
          <w:top w:val="nil"/>
          <w:left w:val="nil"/>
          <w:bottom w:val="nil"/>
          <w:right w:val="nil"/>
          <w:between w:val="nil"/>
        </w:pBdr>
        <w:spacing w:before="360" w:after="120" w:line="360" w:lineRule="auto"/>
        <w:jc w:val="center"/>
        <w:rPr>
          <w:rFonts w:ascii="Arial" w:eastAsia="Times New Roman" w:hAnsi="Arial" w:cs="Arial"/>
          <w:color w:val="000000"/>
          <w:sz w:val="24"/>
          <w:szCs w:val="24"/>
          <w:u w:val="single"/>
        </w:rPr>
      </w:pPr>
      <w:r w:rsidRPr="00A26C1F">
        <w:rPr>
          <w:rFonts w:ascii="Arial" w:eastAsia="Times New Roman" w:hAnsi="Arial" w:cs="Arial"/>
          <w:color w:val="000000"/>
          <w:sz w:val="24"/>
          <w:szCs w:val="24"/>
          <w:u w:val="single"/>
          <w:rtl/>
        </w:rPr>
        <w:t>דברי הסבר</w:t>
      </w:r>
    </w:p>
    <w:p w14:paraId="5871A0C8" w14:textId="77777777" w:rsidR="00A26C1F" w:rsidRPr="00A26C1F" w:rsidRDefault="00A26C1F" w:rsidP="00A26C1F">
      <w:pPr>
        <w:widowControl w:val="0"/>
        <w:pBdr>
          <w:top w:val="nil"/>
          <w:left w:val="nil"/>
          <w:bottom w:val="nil"/>
          <w:right w:val="nil"/>
          <w:between w:val="nil"/>
        </w:pBdr>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 xml:space="preserve">הצעת חוק זו באה כדי להגן על העיתונאים והעיתונאיות בישראל מפני הטרדה ותקיפה בעת מילוי תפקידם, זאת על רקע אלימות פיזית ומילולית המכוונת נגד גופי התקשורת והעיתונאים.  עיתונות חופשית היא מאבני היסוד של הדמוקרטיה ונחשבת כאחד מכלבי השמירה של הציבור מפני ניצול לא ראוי של הכוח השלטוני מצד פוליטיקאים או הכלכלי מצד בעלי ההון. במסגרת עקרון העיתונות החופשית נקבעו מספר הגנות לעיתונאים והעיתונאיות בכדי שיוכלו לבצע את מלאכתם בצורה המקצועית ביותר. הגנה בחוק על ביטחון העיתונאים היא מרכיב חשוב בכך שיוכלו למלא את שליחותם הדמוקרטית ולחשוף בפני הציבור את האמיתות שברצונם לחשוף בפני הציבור. </w:t>
      </w:r>
    </w:p>
    <w:p w14:paraId="1A31F5CB" w14:textId="77777777" w:rsidR="00A26C1F" w:rsidRPr="00A26C1F" w:rsidRDefault="00A26C1F" w:rsidP="00A26C1F">
      <w:pPr>
        <w:widowControl w:val="0"/>
        <w:pBdr>
          <w:top w:val="nil"/>
          <w:left w:val="nil"/>
          <w:bottom w:val="nil"/>
          <w:right w:val="nil"/>
          <w:between w:val="nil"/>
        </w:pBdr>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ab/>
        <w:t xml:space="preserve">הצעת חוק זו מקדמת את ביטחון העיתונאים בשתי דרכים. תחילה, הוספת סעיף 3(ג1) </w:t>
      </w:r>
      <w:r w:rsidRPr="00A26C1F">
        <w:rPr>
          <w:rFonts w:ascii="Arial" w:eastAsia="Times New Roman" w:hAnsi="Arial" w:cs="Arial"/>
          <w:color w:val="000000"/>
          <w:sz w:val="24"/>
          <w:szCs w:val="24"/>
          <w:rtl/>
        </w:rPr>
        <w:lastRenderedPageBreak/>
        <w:t xml:space="preserve">תכווין את היועץ המשפטי לבחון קובלנות על הטרדה מאיימת שמוגשות על ידי עיתונאים באופן מחמיר במיוחד, נוכח האפקט המצנן שיכול להיות להטרדות שכאלו על התקשורת החופשית. ודוק, איומים כאלו יכולים להרתיע עיתונאי מלהמשיך ולקיים תחקיר על אדם מסוים או גוף מסוים במגזר הציבורי או הפרטי. לחלופין, ריבוי איומים כאלו יוצרים אפקט מצנן מכניסה לתוך עולם העיתונות ובכך נוצרת פגיעה בחופש העיסוק. </w:t>
      </w:r>
    </w:p>
    <w:p w14:paraId="09AF3E1F" w14:textId="77777777" w:rsidR="00A26C1F" w:rsidRPr="00A26C1F" w:rsidRDefault="00A26C1F" w:rsidP="00A26C1F">
      <w:pPr>
        <w:widowControl w:val="0"/>
        <w:pBdr>
          <w:top w:val="nil"/>
          <w:left w:val="nil"/>
          <w:bottom w:val="nil"/>
          <w:right w:val="nil"/>
          <w:between w:val="nil"/>
        </w:pBdr>
        <w:spacing w:after="0" w:line="360" w:lineRule="auto"/>
        <w:jc w:val="both"/>
        <w:rPr>
          <w:rFonts w:ascii="Arial" w:eastAsia="Times New Roman" w:hAnsi="Arial" w:cs="Arial"/>
          <w:color w:val="000000"/>
          <w:sz w:val="24"/>
          <w:szCs w:val="24"/>
        </w:rPr>
      </w:pPr>
      <w:r w:rsidRPr="00A26C1F">
        <w:rPr>
          <w:rFonts w:ascii="Arial" w:eastAsia="Times New Roman" w:hAnsi="Arial" w:cs="Arial"/>
          <w:color w:val="000000"/>
          <w:sz w:val="24"/>
          <w:szCs w:val="24"/>
          <w:rtl/>
        </w:rPr>
        <w:tab/>
        <w:t xml:space="preserve">הדרך השנייה בה היא מקדמת את ביטחון העיתונאים היא קביעת פיצוי ללא הוכחת נזק בגין הפרה של צו למניעת הטרדה מאיימת. כך, אם המציאו צו כזה על מנת להגן על העיתונאי, המנגנון של פיצוי ללא הוכחת נזק עד 20,000₪, ייצור אפקט מרתיע שימנע ממטרידים לחזור על מעשיהם ולהפריע לעיתונאים לבצע את עבודתם. בנוסף, הוספת מנגנון כזה יתמרץ את העיתונאים להגיש בקשות למניעת הטרדה מאיימת, מתוך ההבנה כי ישנן "שיניים" בחוק אשר יוכלו להשתמש בהן אם ההטרדות ימשכו. </w:t>
      </w:r>
    </w:p>
    <w:p w14:paraId="22EEE8C8" w14:textId="77777777" w:rsidR="00A26C1F" w:rsidRPr="00A26C1F" w:rsidRDefault="00A26C1F" w:rsidP="00A26C1F">
      <w:pPr>
        <w:jc w:val="both"/>
        <w:rPr>
          <w:rFonts w:ascii="Arial" w:eastAsia="Times New Roman" w:hAnsi="Arial" w:cs="Arial"/>
          <w:sz w:val="24"/>
          <w:szCs w:val="24"/>
        </w:rPr>
      </w:pPr>
    </w:p>
    <w:p w14:paraId="32F0CDC8" w14:textId="6AFB226A" w:rsidR="001A473E" w:rsidRPr="00A26C1F" w:rsidRDefault="001A473E" w:rsidP="00A26C1F">
      <w:pPr>
        <w:rPr>
          <w:rFonts w:ascii="Arial" w:hAnsi="Arial" w:cs="Arial" w:hint="cs"/>
          <w:sz w:val="24"/>
          <w:szCs w:val="24"/>
        </w:rPr>
      </w:pPr>
    </w:p>
    <w:sectPr w:rsidR="001A473E" w:rsidRPr="00A26C1F">
      <w:headerReference w:type="default" r:id="rId7"/>
      <w:footerReference w:type="default" r:id="rId8"/>
      <w:pgSz w:w="11906" w:h="16838"/>
      <w:pgMar w:top="1440" w:right="1800" w:bottom="1440" w:left="1800" w:header="708" w:footer="708"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7A30" w14:textId="77777777" w:rsidR="00CD2690" w:rsidRDefault="00CD2690" w:rsidP="008C1035">
      <w:pPr>
        <w:spacing w:after="0" w:line="240" w:lineRule="auto"/>
      </w:pPr>
      <w:r>
        <w:separator/>
      </w:r>
    </w:p>
  </w:endnote>
  <w:endnote w:type="continuationSeparator" w:id="0">
    <w:p w14:paraId="277E4DFC" w14:textId="77777777" w:rsidR="00CD2690" w:rsidRDefault="00CD2690" w:rsidP="008C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7CE" w14:textId="013E1178" w:rsidR="0080289F" w:rsidRDefault="0080289F" w:rsidP="008C127C">
    <w:pPr>
      <w:pStyle w:val="Footer"/>
      <w:jc w:val="center"/>
      <w:rPr>
        <w:rFonts w:cs="Arial"/>
        <w:rtl/>
      </w:rPr>
    </w:pPr>
    <w:r>
      <w:rPr>
        <w:rFonts w:cs="Arial" w:hint="cs"/>
        <w:rtl/>
      </w:rPr>
      <w:t>אייל לוריא-פרדס</w:t>
    </w:r>
    <w:r w:rsidR="00431351">
      <w:rPr>
        <w:rFonts w:cs="Arial" w:hint="cs"/>
        <w:rtl/>
      </w:rPr>
      <w:t>, רכז מדיניות זולת</w:t>
    </w:r>
  </w:p>
  <w:p w14:paraId="40C81968" w14:textId="7877A6AB" w:rsidR="0080289F" w:rsidRPr="0080289F" w:rsidRDefault="00CD2690" w:rsidP="008C127C">
    <w:pPr>
      <w:pStyle w:val="Footer"/>
      <w:jc w:val="center"/>
      <w:rPr>
        <w:rFonts w:cs="Arial"/>
        <w:rtl/>
      </w:rPr>
    </w:pPr>
    <w:hyperlink r:id="rId1" w:history="1">
      <w:r w:rsidR="0080289F" w:rsidRPr="002E1D41">
        <w:rPr>
          <w:rStyle w:val="Hyperlink"/>
          <w:rFonts w:cs="Arial"/>
        </w:rPr>
        <w:t>lurie.eyal@gmail.com</w:t>
      </w:r>
    </w:hyperlink>
  </w:p>
  <w:p w14:paraId="57837004" w14:textId="7D9FD9E8" w:rsidR="0080289F" w:rsidRPr="0080289F" w:rsidRDefault="0080289F" w:rsidP="008C127C">
    <w:pPr>
      <w:pStyle w:val="Footer"/>
      <w:jc w:val="center"/>
      <w:rPr>
        <w:rFonts w:cs="Arial"/>
        <w:rtl/>
      </w:rPr>
    </w:pPr>
    <w:r>
      <w:rPr>
        <w:rFonts w:cs="Arial" w:hint="cs"/>
        <w:rtl/>
      </w:rPr>
      <w:t>050-9113939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4A14" w14:textId="77777777" w:rsidR="00CD2690" w:rsidRDefault="00CD2690" w:rsidP="008C1035">
      <w:pPr>
        <w:spacing w:after="0" w:line="240" w:lineRule="auto"/>
      </w:pPr>
      <w:r>
        <w:separator/>
      </w:r>
    </w:p>
  </w:footnote>
  <w:footnote w:type="continuationSeparator" w:id="0">
    <w:p w14:paraId="7905B483" w14:textId="77777777" w:rsidR="00CD2690" w:rsidRDefault="00CD2690" w:rsidP="008C1035">
      <w:pPr>
        <w:spacing w:after="0" w:line="240" w:lineRule="auto"/>
      </w:pPr>
      <w:r>
        <w:continuationSeparator/>
      </w:r>
    </w:p>
  </w:footnote>
  <w:footnote w:id="1">
    <w:p w14:paraId="4264F901" w14:textId="77777777" w:rsidR="00A26C1F" w:rsidRDefault="00A26C1F" w:rsidP="00A26C1F">
      <w:pPr>
        <w:widowControl w:val="0"/>
        <w:pBdr>
          <w:top w:val="nil"/>
          <w:left w:val="nil"/>
          <w:bottom w:val="nil"/>
          <w:right w:val="nil"/>
          <w:between w:val="nil"/>
        </w:pBdr>
        <w:spacing w:after="0" w:line="240" w:lineRule="auto"/>
        <w:ind w:left="227" w:hanging="227"/>
        <w:rPr>
          <w:rFonts w:ascii="Arial" w:eastAsia="Arial" w:hAnsi="Arial" w:cs="Arial"/>
          <w:color w:val="000000"/>
          <w:sz w:val="14"/>
          <w:szCs w:val="14"/>
        </w:rPr>
      </w:pPr>
      <w:r>
        <w:rPr>
          <w:vertAlign w:val="superscript"/>
        </w:rPr>
        <w:footnoteRef/>
      </w:r>
      <w:r>
        <w:rPr>
          <w:rFonts w:ascii="Arial" w:eastAsia="Arial" w:hAnsi="Arial" w:cs="Arial"/>
          <w:color w:val="000000"/>
          <w:sz w:val="14"/>
          <w:szCs w:val="14"/>
          <w:rtl/>
        </w:rPr>
        <w:t xml:space="preserve"> ס"ח </w:t>
      </w:r>
      <w:proofErr w:type="spellStart"/>
      <w:r>
        <w:rPr>
          <w:rFonts w:ascii="Arial" w:eastAsia="Arial" w:hAnsi="Arial" w:cs="Arial"/>
          <w:color w:val="000000"/>
          <w:sz w:val="14"/>
          <w:szCs w:val="14"/>
          <w:rtl/>
        </w:rPr>
        <w:t>התשס"ב</w:t>
      </w:r>
      <w:proofErr w:type="spellEnd"/>
      <w:r>
        <w:rPr>
          <w:rFonts w:ascii="Arial" w:eastAsia="Arial" w:hAnsi="Arial" w:cs="Arial"/>
          <w:color w:val="000000"/>
          <w:sz w:val="14"/>
          <w:szCs w:val="14"/>
          <w:rtl/>
        </w:rPr>
        <w:t>, עמ'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8834" w14:textId="73AD1EC3" w:rsidR="008C127C" w:rsidRDefault="008C127C">
    <w:pPr>
      <w:pStyle w:val="Header"/>
    </w:pPr>
    <w:r w:rsidRPr="008C127C">
      <w:rPr>
        <w:noProof/>
        <w:rtl/>
      </w:rPr>
      <w:drawing>
        <wp:anchor distT="0" distB="0" distL="114300" distR="114300" simplePos="0" relativeHeight="251660288" behindDoc="0" locked="0" layoutInCell="1" allowOverlap="1" wp14:anchorId="294ADD84" wp14:editId="7820BD87">
          <wp:simplePos x="0" y="0"/>
          <wp:positionH relativeFrom="margin">
            <wp:posOffset>5287645</wp:posOffset>
          </wp:positionH>
          <wp:positionV relativeFrom="margin">
            <wp:posOffset>-747617</wp:posOffset>
          </wp:positionV>
          <wp:extent cx="925830" cy="581660"/>
          <wp:effectExtent l="0" t="0" r="1270" b="2540"/>
          <wp:wrapSquare wrapText="bothSides"/>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lath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830" cy="581660"/>
                  </a:xfrm>
                  <a:prstGeom prst="rect">
                    <a:avLst/>
                  </a:prstGeom>
                </pic:spPr>
              </pic:pic>
            </a:graphicData>
          </a:graphic>
          <wp14:sizeRelH relativeFrom="margin">
            <wp14:pctWidth>0</wp14:pctWidth>
          </wp14:sizeRelH>
          <wp14:sizeRelV relativeFrom="margin">
            <wp14:pctHeight>0</wp14:pctHeight>
          </wp14:sizeRelV>
        </wp:anchor>
      </w:drawing>
    </w:r>
    <w:r w:rsidRPr="008C127C">
      <w:rPr>
        <w:noProof/>
        <w:rtl/>
      </w:rPr>
      <w:drawing>
        <wp:anchor distT="0" distB="0" distL="114300" distR="114300" simplePos="0" relativeHeight="251659264" behindDoc="0" locked="0" layoutInCell="1" allowOverlap="1" wp14:anchorId="704F926D" wp14:editId="53822290">
          <wp:simplePos x="0" y="0"/>
          <wp:positionH relativeFrom="column">
            <wp:posOffset>-909733</wp:posOffset>
          </wp:positionH>
          <wp:positionV relativeFrom="paragraph">
            <wp:posOffset>-272415</wp:posOffset>
          </wp:positionV>
          <wp:extent cx="1255395" cy="560705"/>
          <wp:effectExtent l="0" t="0" r="1905" b="0"/>
          <wp:wrapNone/>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late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5395" cy="56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0FD8"/>
    <w:multiLevelType w:val="multilevel"/>
    <w:tmpl w:val="20BE63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A7136B"/>
    <w:multiLevelType w:val="multilevel"/>
    <w:tmpl w:val="3DA42798"/>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48"/>
    <w:rsid w:val="00011D37"/>
    <w:rsid w:val="0002642E"/>
    <w:rsid w:val="00101C2B"/>
    <w:rsid w:val="00130BEC"/>
    <w:rsid w:val="00192148"/>
    <w:rsid w:val="001A473E"/>
    <w:rsid w:val="001C1B2E"/>
    <w:rsid w:val="00292A4E"/>
    <w:rsid w:val="003F0C57"/>
    <w:rsid w:val="00431351"/>
    <w:rsid w:val="0043590E"/>
    <w:rsid w:val="004519CD"/>
    <w:rsid w:val="00683741"/>
    <w:rsid w:val="00714B16"/>
    <w:rsid w:val="0080289F"/>
    <w:rsid w:val="008866C3"/>
    <w:rsid w:val="008B6F2E"/>
    <w:rsid w:val="008C1035"/>
    <w:rsid w:val="008C127C"/>
    <w:rsid w:val="00A26C1F"/>
    <w:rsid w:val="00A96598"/>
    <w:rsid w:val="00B75A60"/>
    <w:rsid w:val="00C759B1"/>
    <w:rsid w:val="00C92F30"/>
    <w:rsid w:val="00CD2690"/>
    <w:rsid w:val="00E05A1F"/>
    <w:rsid w:val="00ED7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3309"/>
  <w15:docId w15:val="{85BD19F3-0776-4565-AAE5-2FED122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2F3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92F30"/>
    <w:rPr>
      <w:rFonts w:ascii="Tahoma" w:hAnsi="Tahoma" w:cs="Tahoma"/>
      <w:sz w:val="18"/>
      <w:szCs w:val="18"/>
    </w:rPr>
  </w:style>
  <w:style w:type="paragraph" w:styleId="Header">
    <w:name w:val="header"/>
    <w:basedOn w:val="Normal"/>
    <w:link w:val="HeaderChar"/>
    <w:uiPriority w:val="99"/>
    <w:unhideWhenUsed/>
    <w:rsid w:val="008C10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035"/>
  </w:style>
  <w:style w:type="paragraph" w:styleId="Footer">
    <w:name w:val="footer"/>
    <w:basedOn w:val="Normal"/>
    <w:link w:val="FooterChar"/>
    <w:uiPriority w:val="99"/>
    <w:unhideWhenUsed/>
    <w:rsid w:val="008C10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035"/>
  </w:style>
  <w:style w:type="paragraph" w:styleId="ListParagraph">
    <w:name w:val="List Paragraph"/>
    <w:basedOn w:val="Normal"/>
    <w:uiPriority w:val="34"/>
    <w:qFormat/>
    <w:rsid w:val="0080289F"/>
    <w:pPr>
      <w:ind w:left="720"/>
      <w:contextualSpacing/>
    </w:pPr>
  </w:style>
  <w:style w:type="character" w:styleId="Hyperlink">
    <w:name w:val="Hyperlink"/>
    <w:basedOn w:val="DefaultParagraphFont"/>
    <w:uiPriority w:val="99"/>
    <w:unhideWhenUsed/>
    <w:rsid w:val="0080289F"/>
    <w:rPr>
      <w:color w:val="0000FF" w:themeColor="hyperlink"/>
      <w:u w:val="single"/>
    </w:rPr>
  </w:style>
  <w:style w:type="paragraph" w:styleId="NormalWeb">
    <w:name w:val="Normal (Web)"/>
    <w:basedOn w:val="Normal"/>
    <w:uiPriority w:val="99"/>
    <w:semiHidden/>
    <w:unhideWhenUsed/>
    <w:rsid w:val="008B6F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1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3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rie.eya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Omri Feinstein</cp:lastModifiedBy>
  <cp:revision>2</cp:revision>
  <dcterms:created xsi:type="dcterms:W3CDTF">2020-08-05T08:44:00Z</dcterms:created>
  <dcterms:modified xsi:type="dcterms:W3CDTF">2020-08-05T08:44:00Z</dcterms:modified>
</cp:coreProperties>
</file>